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73C2C230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3C4CEB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3C4CEB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3C4CEB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3C4CEB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3C4CEB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3DD9C813" w:rsidR="00146A1B" w:rsidRPr="00615E22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3C4CEB">
        <w:rPr>
          <w:rFonts w:cs="Poppins"/>
          <w:b/>
          <w:sz w:val="36"/>
          <w:szCs w:val="24"/>
          <w:lang w:val="it-IT"/>
        </w:rPr>
        <w:t xml:space="preserve">D3.1 </w:t>
      </w:r>
      <w:r w:rsidR="00615E22" w:rsidRPr="00615E22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7D1E4DD1" w:rsidR="00146A1B" w:rsidRPr="003C4CEB" w:rsidRDefault="00146A1B" w:rsidP="3C5CA4AD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3C4CEB">
        <w:rPr>
          <w:rFonts w:cs="Poppins"/>
          <w:sz w:val="32"/>
          <w:szCs w:val="32"/>
          <w:lang w:val="it-IT"/>
        </w:rPr>
        <w:t>Modulo 1: Nozioni di base digitali per organizzazioni abilitanti</w:t>
      </w:r>
    </w:p>
    <w:p w14:paraId="460A7C0F" w14:textId="521805FD" w:rsidR="00146A1B" w:rsidRPr="003C4CEB" w:rsidRDefault="00B727A0" w:rsidP="3C5CA4AD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3C4CEB">
        <w:rPr>
          <w:rFonts w:cs="Poppins"/>
          <w:sz w:val="32"/>
          <w:szCs w:val="32"/>
          <w:lang w:val="it-IT"/>
        </w:rPr>
        <w:t>Tecnologie digitali di tendenza</w:t>
      </w:r>
    </w:p>
    <w:p w14:paraId="5FF883CD" w14:textId="763917D9" w:rsidR="00A13208" w:rsidRPr="003C4CEB" w:rsidRDefault="00A13208" w:rsidP="3C5CA4AD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3C4CEB">
        <w:rPr>
          <w:rFonts w:cs="Poppins"/>
          <w:sz w:val="32"/>
          <w:szCs w:val="32"/>
          <w:lang w:val="it-IT"/>
        </w:rPr>
        <w:t>Lista di controllo</w:t>
      </w:r>
      <w:r w:rsidRPr="003C4CEB">
        <w:rPr>
          <w:rFonts w:ascii="Cambria Math" w:hAnsi="Cambria Math" w:cs="Cambria Math"/>
          <w:sz w:val="32"/>
          <w:szCs w:val="32"/>
          <w:lang w:val="it-IT"/>
        </w:rPr>
        <w:t xml:space="preserve"> per l</w:t>
      </w:r>
      <w:r w:rsidRPr="003C4CEB">
        <w:rPr>
          <w:rFonts w:cs="Poppins"/>
          <w:sz w:val="32"/>
          <w:szCs w:val="32"/>
          <w:lang w:val="it-IT"/>
        </w:rPr>
        <w:t>'autovalutazione</w:t>
      </w:r>
    </w:p>
    <w:p w14:paraId="1B854983" w14:textId="77777777" w:rsidR="00A13208" w:rsidRPr="003C4CEB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3C4CEB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4CA2CD2" w14:textId="77777777" w:rsidR="008E211B" w:rsidRPr="003C4CEB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3C4CEB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DBC1259" w14:textId="4293F971" w:rsidR="3C5CA4AD" w:rsidRPr="003C4CEB" w:rsidRDefault="3C5CA4AD" w:rsidP="3C5CA4AD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0E72B166" w:rsidR="00F00116" w:rsidRPr="003C4CEB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3C4CEB">
        <w:rPr>
          <w:rFonts w:cs="Poppins"/>
          <w:b/>
          <w:bCs/>
          <w:color w:val="3E762A"/>
          <w:lang w:val="it-IT"/>
        </w:rPr>
        <w:t>Disc</w:t>
      </w:r>
      <w:r w:rsidR="00615E22">
        <w:rPr>
          <w:rFonts w:cs="Poppins"/>
          <w:b/>
          <w:bCs/>
          <w:color w:val="3E762A"/>
          <w:lang w:val="it-IT"/>
        </w:rPr>
        <w:t>laimer</w:t>
      </w:r>
      <w:r w:rsidRPr="003C4CEB">
        <w:rPr>
          <w:rFonts w:cs="Poppins"/>
          <w:b/>
          <w:bCs/>
          <w:color w:val="3E762A"/>
          <w:lang w:val="it-IT"/>
        </w:rPr>
        <w:t xml:space="preserve"> </w:t>
      </w:r>
    </w:p>
    <w:p w14:paraId="56DCB320" w14:textId="1B2490C1" w:rsidR="008A0453" w:rsidRPr="003C4CEB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3C4CEB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3C4C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3C4CEB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3C4CE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3C4CE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3C4CE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3C4CE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3C4CE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3C4CE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3C4CE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62C80998" w:rsidR="00146A1B" w:rsidRPr="00A13208" w:rsidRDefault="00A13208" w:rsidP="00736381">
      <w:pPr>
        <w:pStyle w:val="Titolo1"/>
        <w:numPr>
          <w:ilvl w:val="0"/>
          <w:numId w:val="4"/>
        </w:numPr>
        <w:spacing w:line="276" w:lineRule="auto"/>
        <w:ind w:left="357" w:hanging="357"/>
        <w:rPr>
          <w:bCs/>
          <w:lang w:val="pl-PL"/>
        </w:rPr>
      </w:pPr>
      <w:r w:rsidRPr="00736381">
        <w:t xml:space="preserve">Lista di controllo </w:t>
      </w:r>
      <w:r w:rsidRPr="00736381">
        <w:rPr>
          <w:rFonts w:ascii="Cambria Math" w:hAnsi="Cambria Math" w:cs="Cambria Math"/>
        </w:rPr>
        <w:t>per l'autovalutazione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736381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73638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736381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73638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736381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73638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736381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C647EE" w:rsidRPr="00736381" w14:paraId="41D25338" w14:textId="77777777" w:rsidTr="00A13208">
        <w:tc>
          <w:tcPr>
            <w:tcW w:w="5382" w:type="dxa"/>
          </w:tcPr>
          <w:p w14:paraId="1E6605F6" w14:textId="5AF3FF9B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Il sito web e le pagine QR superano un controllo di accessibilità.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4AA98DB3" w14:textId="77777777" w:rsidTr="00A13208">
        <w:tc>
          <w:tcPr>
            <w:tcW w:w="5382" w:type="dxa"/>
          </w:tcPr>
          <w:p w14:paraId="3CCF669B" w14:textId="5DA1B4D3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I dati dei chatbot vengono memorizzati nei server UE e cancellati dopo sei mesi.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0C341CBE" w14:textId="77777777" w:rsidTr="00A13208">
        <w:tc>
          <w:tcPr>
            <w:tcW w:w="5382" w:type="dxa"/>
          </w:tcPr>
          <w:p w14:paraId="65ADE15E" w14:textId="1FA2E27D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 xml:space="preserve">Almeno un membro dello staff può aggiornare il sito </w:t>
            </w:r>
            <w:r w:rsidRPr="003C4CEB">
              <w:rPr>
                <w:rFonts w:ascii="Cambria Math" w:hAnsi="Cambria Math" w:cs="Cambria Math"/>
                <w:sz w:val="20"/>
                <w:szCs w:val="20"/>
                <w:lang w:val="it-IT"/>
              </w:rPr>
              <w:t>no-code</w:t>
            </w:r>
            <w:r w:rsidRPr="003C4CEB">
              <w:rPr>
                <w:rFonts w:cs="Poppins"/>
                <w:sz w:val="20"/>
                <w:szCs w:val="20"/>
                <w:lang w:val="it-IT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57151D24" w14:textId="77777777" w:rsidTr="00A13208">
        <w:tc>
          <w:tcPr>
            <w:tcW w:w="5382" w:type="dxa"/>
          </w:tcPr>
          <w:p w14:paraId="463F5CC5" w14:textId="46D79519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Gli ospiti sanno come vengono utilizzati i dati vocali.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3BD65E5A" w14:textId="77777777" w:rsidTr="00A13208">
        <w:tc>
          <w:tcPr>
            <w:tcW w:w="5382" w:type="dxa"/>
          </w:tcPr>
          <w:p w14:paraId="57F81237" w14:textId="577FC90E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I dashboard dei sensori memorizzano solo dati aggregati, non dati personali.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3C8E2866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4E99BE1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48EEB5AD" w14:textId="77777777" w:rsidTr="00A13208">
        <w:tc>
          <w:tcPr>
            <w:tcW w:w="5382" w:type="dxa"/>
          </w:tcPr>
          <w:p w14:paraId="6E0FC328" w14:textId="5C510A48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Ogni nuovo strumento veniva testato con un lettore di schermo.</w:t>
            </w:r>
          </w:p>
        </w:tc>
        <w:sdt>
          <w:sdtPr>
            <w:rPr>
              <w:rFonts w:cs="Poppins"/>
              <w:sz w:val="20"/>
              <w:szCs w:val="20"/>
            </w:rPr>
            <w:id w:val="-13929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DBECD57" w14:textId="09700F2E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398855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BD86D87" w14:textId="354295E3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3E1ACE5F" w:rsidR="00146A1B" w:rsidRPr="003C4CEB" w:rsidRDefault="00C647EE" w:rsidP="00736381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r w:rsidRPr="003C4CEB">
        <w:rPr>
          <w:lang w:val="it-IT"/>
        </w:rPr>
        <w:t>Come utilizzare questa autovalutazione "Digital-Toolkit"</w:t>
      </w:r>
    </w:p>
    <w:p w14:paraId="50A971A4" w14:textId="77777777" w:rsidR="00C647EE" w:rsidRPr="003C4CEB" w:rsidRDefault="00C647EE" w:rsidP="00C647EE">
      <w:pPr>
        <w:spacing w:line="276" w:lineRule="auto"/>
        <w:rPr>
          <w:lang w:val="it-IT"/>
        </w:rPr>
      </w:pPr>
      <w:r w:rsidRPr="003C4CEB">
        <w:rPr>
          <w:lang w:val="it-IT"/>
        </w:rPr>
        <w:t>Questa lista si concentra sulla combinazione speciale di strumenti che molte aziende rurali utilizzano ora: siti web generati da no-code builder, landing page con codice QR, tour abilitati vocali, chatbot e semplici dashboard con sensori IoT.</w:t>
      </w:r>
    </w:p>
    <w:p w14:paraId="20E2F307" w14:textId="0F7980CA" w:rsidR="00032440" w:rsidRPr="003C4CEB" w:rsidRDefault="00C647EE" w:rsidP="00C647EE">
      <w:pPr>
        <w:spacing w:line="276" w:lineRule="auto"/>
        <w:rPr>
          <w:lang w:val="it-IT"/>
        </w:rPr>
      </w:pPr>
      <w:r w:rsidRPr="003C4CEB">
        <w:rPr>
          <w:lang w:val="it-IT"/>
        </w:rPr>
        <w:t xml:space="preserve"> Spunta  Sì solo quando l'affermazione è pienamente vera per ogni strumento rilevante oggi. Un singolo No  rivela un gap da programmare per la prossima corsa.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615E22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736381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736381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736381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736381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Perché dovrebbe importare?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554230F5" w:rsidR="00A13208" w:rsidRPr="003C4CEB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Consiglio veloce per passare da "No" a "Sì"</w:t>
            </w:r>
          </w:p>
        </w:tc>
      </w:tr>
      <w:tr w:rsidR="00C647EE" w:rsidRPr="00615E22" w14:paraId="104004EE" w14:textId="77777777" w:rsidTr="00FB74BD">
        <w:tc>
          <w:tcPr>
            <w:tcW w:w="2263" w:type="dxa"/>
          </w:tcPr>
          <w:p w14:paraId="2B3EAEEA" w14:textId="0E2E1007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 xml:space="preserve">Il sito web e le pagine QR </w:t>
            </w:r>
            <w:r w:rsidRPr="003C4CEB">
              <w:rPr>
                <w:rFonts w:cs="Poppins"/>
                <w:sz w:val="20"/>
                <w:szCs w:val="20"/>
                <w:lang w:val="it-IT"/>
              </w:rPr>
              <w:lastRenderedPageBreak/>
              <w:t>superano un controllo di accessibilità.</w:t>
            </w:r>
          </w:p>
        </w:tc>
        <w:tc>
          <w:tcPr>
            <w:tcW w:w="3261" w:type="dxa"/>
          </w:tcPr>
          <w:p w14:paraId="2ED6753E" w14:textId="1829A3BA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lastRenderedPageBreak/>
              <w:t xml:space="preserve">Gli ospiti che utilizzano lettori di schermo o modalità ad alto </w:t>
            </w:r>
            <w:r w:rsidRPr="003C4CEB">
              <w:rPr>
                <w:rFonts w:cs="Poppins"/>
                <w:sz w:val="20"/>
                <w:szCs w:val="20"/>
                <w:lang w:val="it-IT"/>
              </w:rPr>
              <w:lastRenderedPageBreak/>
              <w:t>contrasto hanno accesso uguale; La conformità WCAG 2.2 è obbligatoria ai sensi della Legge sull'Accessibilità dell'UE (2025).</w:t>
            </w:r>
          </w:p>
        </w:tc>
        <w:tc>
          <w:tcPr>
            <w:tcW w:w="3543" w:type="dxa"/>
          </w:tcPr>
          <w:p w14:paraId="17220C56" w14:textId="107ADF7B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lastRenderedPageBreak/>
              <w:t xml:space="preserve">Esegui WAVE o axe sul sito principale </w:t>
            </w:r>
            <w:r w:rsidRPr="003C4CEB">
              <w:rPr>
                <w:rFonts w:cs="Poppins"/>
                <w:b/>
                <w:bCs/>
                <w:sz w:val="20"/>
                <w:szCs w:val="20"/>
                <w:lang w:val="it-IT"/>
              </w:rPr>
              <w:t>e</w:t>
            </w:r>
            <w:r w:rsidRPr="003C4CEB">
              <w:rPr>
                <w:rFonts w:cs="Poppins"/>
                <w:sz w:val="20"/>
                <w:szCs w:val="20"/>
                <w:lang w:val="it-IT"/>
              </w:rPr>
              <w:t xml:space="preserve"> su ogni landing </w:t>
            </w:r>
            <w:r w:rsidRPr="003C4CEB">
              <w:rPr>
                <w:rFonts w:cs="Poppins"/>
                <w:sz w:val="20"/>
                <w:szCs w:val="20"/>
                <w:lang w:val="it-IT"/>
              </w:rPr>
              <w:lastRenderedPageBreak/>
              <w:t>page dei QR. Correggi errori rossi: testo alternativo mancante, basso contrasto, link vuoti.</w:t>
            </w:r>
          </w:p>
        </w:tc>
      </w:tr>
      <w:tr w:rsidR="00C647EE" w:rsidRPr="00736381" w14:paraId="019524DC" w14:textId="77777777" w:rsidTr="00FB74BD">
        <w:tc>
          <w:tcPr>
            <w:tcW w:w="2263" w:type="dxa"/>
          </w:tcPr>
          <w:p w14:paraId="4CCE0553" w14:textId="54DC1B0B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lastRenderedPageBreak/>
              <w:t>I dati dei chatbot vengono memorizzati nei server UE e cancellati dopo sei mesi.</w:t>
            </w:r>
          </w:p>
        </w:tc>
        <w:tc>
          <w:tcPr>
            <w:tcW w:w="3261" w:type="dxa"/>
          </w:tcPr>
          <w:p w14:paraId="16AF2436" w14:textId="1B065907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GDPR: i dati personali devono rimanere nel SEE (o nelle tutele equivalenti) e non essere conservati più a lungo del necessario.</w:t>
            </w:r>
          </w:p>
        </w:tc>
        <w:tc>
          <w:tcPr>
            <w:tcW w:w="3543" w:type="dxa"/>
          </w:tcPr>
          <w:p w14:paraId="580CE409" w14:textId="5D9227D3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 xml:space="preserve">Nel pannello di amministrazione del chatbot scegli "regione UE" e imposta la cancellazione automatica dei log a 180 giorni. </w:t>
            </w:r>
            <w:r w:rsidRPr="00736381">
              <w:rPr>
                <w:rFonts w:cs="Poppins"/>
                <w:sz w:val="20"/>
                <w:szCs w:val="20"/>
              </w:rPr>
              <w:t>Fai uno screenshot per il tuo file di audit.</w:t>
            </w:r>
          </w:p>
        </w:tc>
      </w:tr>
      <w:tr w:rsidR="00C647EE" w:rsidRPr="00615E22" w14:paraId="4C62C3FC" w14:textId="77777777" w:rsidTr="00FB74BD">
        <w:tc>
          <w:tcPr>
            <w:tcW w:w="2263" w:type="dxa"/>
          </w:tcPr>
          <w:p w14:paraId="0309CF18" w14:textId="4B0EB207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Almeno un membro dello staff può aggiornare il sito no-code.</w:t>
            </w:r>
          </w:p>
        </w:tc>
        <w:tc>
          <w:tcPr>
            <w:tcW w:w="3261" w:type="dxa"/>
          </w:tcPr>
          <w:p w14:paraId="1FE4E21C" w14:textId="0DD0915C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Evita il lock-in con i fornitori e i tempi di inattività se il freelance esterno non è disponibile.</w:t>
            </w:r>
          </w:p>
        </w:tc>
        <w:tc>
          <w:tcPr>
            <w:tcW w:w="3543" w:type="dxa"/>
          </w:tcPr>
          <w:p w14:paraId="5CDE0496" w14:textId="15652F98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Forma la receptionist o il manager sulle modifiche di base (testo, alt-text, prezzo) e documenta l'accesso nel gestore di password.</w:t>
            </w:r>
          </w:p>
        </w:tc>
      </w:tr>
      <w:tr w:rsidR="00C647EE" w:rsidRPr="00615E22" w14:paraId="6663E909" w14:textId="77777777" w:rsidTr="00FB74BD">
        <w:tc>
          <w:tcPr>
            <w:tcW w:w="2263" w:type="dxa"/>
          </w:tcPr>
          <w:p w14:paraId="3B812A69" w14:textId="65DFA465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Gli ospiti sanno come vengono utilizzati i dati vocali.</w:t>
            </w:r>
          </w:p>
        </w:tc>
        <w:tc>
          <w:tcPr>
            <w:tcW w:w="3261" w:type="dxa"/>
          </w:tcPr>
          <w:p w14:paraId="6544E4CB" w14:textId="4FB2B026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La trasparenza costruisce fiducia e rispetta il dovere di informare previsto dall'articolo 13 del GDPR.</w:t>
            </w:r>
          </w:p>
        </w:tc>
        <w:tc>
          <w:tcPr>
            <w:tcW w:w="3543" w:type="dxa"/>
          </w:tcPr>
          <w:p w14:paraId="1F0A3A1B" w14:textId="151C8C81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Aggiungi un avviso di una frase vicino all'icona del microfono o al tag NFC: "I tuoi comandi vocali vengono processati localmente e cancellati istantaneamente."</w:t>
            </w:r>
          </w:p>
        </w:tc>
      </w:tr>
      <w:tr w:rsidR="00C647EE" w:rsidRPr="00615E22" w14:paraId="006C87D2" w14:textId="77777777" w:rsidTr="00FB74BD">
        <w:tc>
          <w:tcPr>
            <w:tcW w:w="2263" w:type="dxa"/>
          </w:tcPr>
          <w:p w14:paraId="4C89BC05" w14:textId="0346FD85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I dashboard dei sensori memorizzano solo dati aggregati, non dati personali.</w:t>
            </w:r>
          </w:p>
        </w:tc>
        <w:tc>
          <w:tcPr>
            <w:tcW w:w="3261" w:type="dxa"/>
          </w:tcPr>
          <w:p w14:paraId="15C515C1" w14:textId="557883D3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I sensori di temperatura o di occupazione possono rivelare accidentalmente il comportamento degli ospiti se conservati grezzi.</w:t>
            </w:r>
          </w:p>
        </w:tc>
        <w:tc>
          <w:tcPr>
            <w:tcW w:w="3543" w:type="dxa"/>
          </w:tcPr>
          <w:p w14:paraId="5AFEEA3A" w14:textId="0B660B73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Configura il cruscotto per registrare le medie orarie, rimuovere gli ID dei dispositivi e mantenere i dati grezzi solo sul dispositivo.</w:t>
            </w:r>
          </w:p>
        </w:tc>
      </w:tr>
      <w:tr w:rsidR="00C647EE" w:rsidRPr="00615E22" w14:paraId="262DBDE5" w14:textId="77777777" w:rsidTr="00FB74BD">
        <w:tc>
          <w:tcPr>
            <w:tcW w:w="2263" w:type="dxa"/>
          </w:tcPr>
          <w:p w14:paraId="2E778C05" w14:textId="64D2046E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Ogni nuovo strumento veniva testato con un lettore di schermo.</w:t>
            </w:r>
          </w:p>
        </w:tc>
        <w:tc>
          <w:tcPr>
            <w:tcW w:w="3261" w:type="dxa"/>
          </w:tcPr>
          <w:p w14:paraId="6DBE08A0" w14:textId="6800DF01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Le scansioni automatiche non rilevano il 30% dei problemi reali; test manuali NVDA o VoiceOver li rilevano.</w:t>
            </w:r>
          </w:p>
        </w:tc>
        <w:tc>
          <w:tcPr>
            <w:tcW w:w="3543" w:type="dxa"/>
          </w:tcPr>
          <w:p w14:paraId="3B4376B4" w14:textId="04780A8D" w:rsidR="00C647EE" w:rsidRPr="003C4CEB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3C4CEB">
              <w:rPr>
                <w:rFonts w:cs="Poppins"/>
                <w:sz w:val="20"/>
                <w:szCs w:val="20"/>
                <w:lang w:val="it-IT"/>
              </w:rPr>
              <w:t>Prima del lancio, dedica cinque minuti a navigare sullo strumento tramite tastiera e lettore di schermo; Correggi eventuali pulsanti non etichettati o trappole di messa a fuoco.</w:t>
            </w:r>
          </w:p>
        </w:tc>
      </w:tr>
    </w:tbl>
    <w:p w14:paraId="2FDA001C" w14:textId="1589A05A" w:rsidR="00FA6018" w:rsidRPr="003C4CEB" w:rsidRDefault="00FA6018" w:rsidP="00A13208">
      <w:pPr>
        <w:spacing w:line="276" w:lineRule="auto"/>
        <w:ind w:firstLine="0"/>
        <w:rPr>
          <w:rFonts w:eastAsia="Poppins" w:cs="Poppins"/>
          <w:lang w:val="it-IT"/>
        </w:rPr>
      </w:pPr>
    </w:p>
    <w:p w14:paraId="1816B83E" w14:textId="77777777" w:rsidR="00C647EE" w:rsidRPr="003C4CEB" w:rsidRDefault="00C647EE" w:rsidP="00C647EE">
      <w:pPr>
        <w:spacing w:line="276" w:lineRule="auto"/>
        <w:rPr>
          <w:b/>
          <w:bCs/>
          <w:lang w:val="it-IT"/>
        </w:rPr>
      </w:pPr>
      <w:r w:rsidRPr="003C4CEB">
        <w:rPr>
          <w:b/>
          <w:bCs/>
          <w:lang w:val="it-IT"/>
        </w:rPr>
        <w:t>Frequenza di revisioni suggerita</w:t>
      </w:r>
    </w:p>
    <w:p w14:paraId="6AF0E6D3" w14:textId="7C30B5FE" w:rsidR="005A579B" w:rsidRPr="003C4CEB" w:rsidRDefault="00C647EE" w:rsidP="00C647EE">
      <w:pPr>
        <w:spacing w:line="276" w:lineRule="auto"/>
        <w:rPr>
          <w:lang w:val="it-IT"/>
        </w:rPr>
      </w:pPr>
      <w:r w:rsidRPr="003C4CEB">
        <w:rPr>
          <w:lang w:val="it-IT"/>
        </w:rPr>
        <w:lastRenderedPageBreak/>
        <w:t xml:space="preserve"> Esegui questa lista </w:t>
      </w:r>
      <w:r w:rsidRPr="003C4CEB">
        <w:rPr>
          <w:b/>
          <w:bCs/>
          <w:lang w:val="it-IT"/>
        </w:rPr>
        <w:t>ogni trimestre</w:t>
      </w:r>
      <w:r w:rsidRPr="003C4CEB">
        <w:rPr>
          <w:lang w:val="it-IT"/>
        </w:rPr>
        <w:t xml:space="preserve">, preferibilmente dopo la retro dello sprint. Qualsiasi </w:t>
      </w:r>
      <w:r w:rsidRPr="003C4CEB">
        <w:rPr>
          <w:b/>
          <w:bCs/>
          <w:lang w:val="it-IT"/>
        </w:rPr>
        <w:t>No</w:t>
      </w:r>
      <w:r w:rsidRPr="003C4CEB">
        <w:rPr>
          <w:lang w:val="it-IT"/>
        </w:rPr>
        <w:t xml:space="preserve"> diventa una storia di arretrato con una data target e un proprietario. Dopo due revisioni consecutive tutto Sì, passa a controlli semestrali e investe più tempo in test di penetrazione più approfonditi o ricerche sugli utenti.</w:t>
      </w:r>
    </w:p>
    <w:sectPr w:rsidR="005A579B" w:rsidRPr="003C4CE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13B3E" w14:textId="77777777" w:rsidR="002D14F6" w:rsidRDefault="002D14F6">
      <w:pPr>
        <w:spacing w:after="0" w:line="240" w:lineRule="auto"/>
      </w:pPr>
      <w:r>
        <w:separator/>
      </w:r>
    </w:p>
  </w:endnote>
  <w:endnote w:type="continuationSeparator" w:id="0">
    <w:p w14:paraId="51E3DDBD" w14:textId="77777777" w:rsidR="002D14F6" w:rsidRDefault="002D1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EC773" w14:textId="77777777" w:rsidR="002D14F6" w:rsidRDefault="002D14F6">
      <w:pPr>
        <w:spacing w:after="0" w:line="240" w:lineRule="auto"/>
      </w:pPr>
      <w:r>
        <w:separator/>
      </w:r>
    </w:p>
  </w:footnote>
  <w:footnote w:type="continuationSeparator" w:id="0">
    <w:p w14:paraId="57948145" w14:textId="77777777" w:rsidR="002D14F6" w:rsidRDefault="002D1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D7EE3"/>
    <w:rsid w:val="000F46BE"/>
    <w:rsid w:val="00111A26"/>
    <w:rsid w:val="00146A1B"/>
    <w:rsid w:val="0015425C"/>
    <w:rsid w:val="0017441F"/>
    <w:rsid w:val="00196A37"/>
    <w:rsid w:val="001B39C3"/>
    <w:rsid w:val="001C3D94"/>
    <w:rsid w:val="00294F87"/>
    <w:rsid w:val="002D14F6"/>
    <w:rsid w:val="00367797"/>
    <w:rsid w:val="003C4CEB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15E22"/>
    <w:rsid w:val="00674F12"/>
    <w:rsid w:val="006B36F8"/>
    <w:rsid w:val="006D5A89"/>
    <w:rsid w:val="006E59B7"/>
    <w:rsid w:val="006F1B2F"/>
    <w:rsid w:val="00703801"/>
    <w:rsid w:val="0071049D"/>
    <w:rsid w:val="00720B76"/>
    <w:rsid w:val="00736381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1608A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C63E7"/>
    <w:rsid w:val="00B21354"/>
    <w:rsid w:val="00B30C01"/>
    <w:rsid w:val="00B37DC8"/>
    <w:rsid w:val="00B727A0"/>
    <w:rsid w:val="00B876CB"/>
    <w:rsid w:val="00BE6AA2"/>
    <w:rsid w:val="00BE76A2"/>
    <w:rsid w:val="00C0371D"/>
    <w:rsid w:val="00C05AA3"/>
    <w:rsid w:val="00C576C1"/>
    <w:rsid w:val="00C647EE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F4E00"/>
    <w:rsid w:val="3C5CA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3C4C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2025-11-06T21:05:00Z</dcterms:created>
  <dcterms:modified xsi:type="dcterms:W3CDTF">2025-12-14T09:27:00Z</dcterms:modified>
</cp:coreProperties>
</file>